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626582" w:rsidRPr="00626582" w:rsidTr="0062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582" w:rsidRPr="00626582" w:rsidRDefault="00626582" w:rsidP="0062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A0" w:rsidRDefault="00315FA0" w:rsidP="003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</w:t>
            </w:r>
            <w:proofErr w:type="gramStart"/>
            <w:r w:rsidRPr="00794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закону</w:t>
            </w:r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КОШТИ)</w:t>
            </w:r>
          </w:p>
          <w:p w:rsidR="00072328" w:rsidRDefault="00072328" w:rsidP="00315FA0">
            <w:pPr>
              <w:spacing w:after="0" w:line="240" w:lineRule="auto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виходячи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очікуваної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 порядку</w:t>
            </w:r>
            <w:proofErr w:type="gram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визначеному</w:t>
            </w:r>
            <w:proofErr w:type="spellEnd"/>
            <w:r w:rsidRPr="0007232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</w:p>
          <w:p w:rsidR="00072328" w:rsidRPr="00072328" w:rsidRDefault="00072328" w:rsidP="003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5FA0" w:rsidRPr="00794A66" w:rsidRDefault="00315FA0" w:rsidP="0031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7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</w:t>
            </w:r>
          </w:p>
          <w:p w:rsidR="00626582" w:rsidRPr="00626582" w:rsidRDefault="00626582" w:rsidP="0062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п.2 ч.2 ст.40 Закону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 таких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яка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документально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враховуючи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об’єктивну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причин)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надавач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займає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монопольне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 на ринку альтернативного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входить до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монополій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балансоутримавочем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Дубно, для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застосовуватись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створено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№ 432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року,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за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Статутом,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чинного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магістральними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розподільчими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мережами;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використоє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ЯЯЯ № 561038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№190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15.03.2006р.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акту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ЯЯ № 272507 про право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яке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№1428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31.10.2005р. та №45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26.05.2006р.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яка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можливим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надавачем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021:2015: 09320000-8 — Пара,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монополіст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тому для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застосовуватись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13971076,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35600,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Дубно,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К.Острозького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буд. 23).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викладеного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товару: код ДК 021:2015: 09320000-8 — Пара,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для потреби ВП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КЗВО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РОР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як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балансоутримувачем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="00E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приміщеннь</w:t>
            </w:r>
            <w:proofErr w:type="spellEnd"/>
            <w:r w:rsidR="00E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="00E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Причини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керувався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переговорної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Пара,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 закладу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КЗВО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академія»РОР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доступу до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наданню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належної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балансоутримувачем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надавачів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відсутнє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з КП «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Дубнокомуненергія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призвести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небажаних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та норм,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недотримання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теплового режиму в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2021р.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п.2 ч.2 ст. 40 Закону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застосована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</w:t>
            </w:r>
            <w:proofErr w:type="spellStart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E5C95" w:rsidRDefault="00FE5C95"/>
    <w:p w:rsidR="00535BA8" w:rsidRPr="00535BA8" w:rsidRDefault="00535BA8">
      <w:pPr>
        <w:rPr>
          <w:rFonts w:ascii="Times New Roman" w:hAnsi="Times New Roman" w:cs="Times New Roman"/>
          <w:sz w:val="24"/>
          <w:szCs w:val="24"/>
        </w:rPr>
      </w:pPr>
      <w:r w:rsidRPr="00535BA8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прозорого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проявам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добросовісної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ВП «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Дубенський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>» КЗВО «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Рівненська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» РОР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та в межах Закону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" на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майданчику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BA8">
        <w:rPr>
          <w:rFonts w:ascii="Times New Roman" w:hAnsi="Times New Roman" w:cs="Times New Roman"/>
          <w:sz w:val="24"/>
          <w:szCs w:val="24"/>
        </w:rPr>
        <w:t xml:space="preserve">http://dmk.edu.ua/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ВП «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Дубенський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>» КЗВО «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Рівненська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» РОР </w:t>
      </w:r>
      <w:r w:rsidRPr="00535BA8">
        <w:rPr>
          <w:rFonts w:ascii="Times New Roman" w:hAnsi="Times New Roman" w:cs="Times New Roman"/>
          <w:sz w:val="24"/>
          <w:szCs w:val="24"/>
        </w:rPr>
        <w:t>https://prozorro.gov.ua/search/plan?page=1&amp;text=44384258</w:t>
      </w:r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Тендери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КЗВО "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Рівненська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A8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535BA8">
        <w:rPr>
          <w:rFonts w:ascii="Times New Roman" w:hAnsi="Times New Roman" w:cs="Times New Roman"/>
          <w:sz w:val="24"/>
          <w:szCs w:val="24"/>
        </w:rPr>
        <w:t xml:space="preserve">" - </w:t>
      </w:r>
      <w:r w:rsidR="00E4744A" w:rsidRPr="00E4744A">
        <w:rPr>
          <w:rFonts w:ascii="Times New Roman" w:hAnsi="Times New Roman" w:cs="Times New Roman"/>
          <w:sz w:val="24"/>
          <w:szCs w:val="24"/>
        </w:rPr>
        <w:t>https://prozorro.gov.ua/search/tender?page=1&amp;buyer=44384258</w:t>
      </w:r>
      <w:bookmarkStart w:id="0" w:name="_GoBack"/>
      <w:bookmarkEnd w:id="0"/>
    </w:p>
    <w:sectPr w:rsidR="00535BA8" w:rsidRPr="0053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2"/>
    <w:rsid w:val="00072328"/>
    <w:rsid w:val="00315FA0"/>
    <w:rsid w:val="00535BA8"/>
    <w:rsid w:val="00626582"/>
    <w:rsid w:val="00E4744A"/>
    <w:rsid w:val="00E66AB1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517"/>
  <w15:chartTrackingRefBased/>
  <w15:docId w15:val="{AB218869-1C17-47AF-BCCB-53AE5A8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72328"/>
  </w:style>
  <w:style w:type="character" w:styleId="a3">
    <w:name w:val="Hyperlink"/>
    <w:basedOn w:val="a0"/>
    <w:uiPriority w:val="99"/>
    <w:unhideWhenUsed/>
    <w:rsid w:val="00535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2021-12-21T08:08:00Z</dcterms:created>
  <dcterms:modified xsi:type="dcterms:W3CDTF">2021-12-21T09:19:00Z</dcterms:modified>
</cp:coreProperties>
</file>